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Knihovna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Zajištění a organizace vedení knihovny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  <w:lang w:eastAsia="cs-CZ"/>
              </w:rPr>
              <w:t xml:space="preserve"> Naplnění povinností uložených knihovně obecně závaznými právními předpisy – zejména zákonem č.257/2001 Sb., o knihovnách a podmínkách provozování veřejných knihovnických a informačních služeb (Knihovní zákon).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257/2001 Sb., - Zákon o knihovnách a podmínkách provozování veřejných knihovnických a informačních služeb (knihovní zákon),</w:t>
            </w:r>
          </w:p>
          <w:p>
            <w:pPr>
              <w:pStyle w:val="Normal"/>
              <w:bidi w:val="0"/>
              <w:spacing w:lineRule="auto" w:line="276" w:before="200" w:after="120"/>
              <w:contextualSpacing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Všichni registrovaní uživatelé, čtenáři Knihovny včetně dětí.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datum narození, trvalé bydliště, podpis,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Informace jsou zpřístupněny elektronicky, stejným systémem, programem firmy LANius.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Knihovny V5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Papírová přihláška uživatele + elektronická podoba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Papírové přihlášky jsou umístěny v uzamčené zásuvce, elektronická podoba je zajištěna heslem uživatele.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Elektronický knihovní  program firmy LANius.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177</Words>
  <Characters>1194</Characters>
  <CharactersWithSpaces>1355</CharactersWithSpaces>
  <Paragraphs>20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2018-05-27T17:42:57Z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